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600"/>
      </w:pPr>
      <w:r>
        <w:rPr>
          <w:rFonts w:ascii="Calibri" w:cs="Calibri" w:eastAsia="Calibri" w:hAnsi="Calibri"/>
          <w:b/>
          <w:bCs/>
          <w:caps/>
          <w:color w:val="0D9488"/>
          <w:sz w:val="20"/>
          <w:szCs w:val="20"/>
        </w:rPr>
        <w:t xml:space="preserve">METAPET SCHOOLS</w:t>
      </w:r>
    </w:p>
    <w:p>
      <w:pPr>
        <w:spacing w:after="120"/>
      </w:pPr>
      <w:r>
        <w:rPr>
          <w:rFonts w:ascii="Calibri" w:cs="Calibri" w:eastAsia="Calibri" w:hAnsi="Calibri"/>
          <w:b/>
          <w:bCs/>
          <w:color w:val="1B2A4A"/>
          <w:sz w:val="48"/>
          <w:szCs w:val="48"/>
        </w:rPr>
        <w:t xml:space="preserve">Pilot Prospectus</w:t>
      </w:r>
    </w:p>
    <w:p>
      <w:pPr>
        <w:pBdr>
          <w:bottom w:val="single" w:color="0D9488" w:sz="8" w:space="12"/>
        </w:pBdr>
        <w:spacing w:after="300"/>
      </w:pPr>
      <w:r>
        <w:rPr>
          <w:rFonts w:ascii="Calibri" w:cs="Calibri" w:eastAsia="Calibri" w:hAnsi="Calibri"/>
          <w:color w:val="94A3B8"/>
          <w:sz w:val="24"/>
          <w:szCs w:val="24"/>
        </w:rPr>
        <w:t xml:space="preserve">School partnership proposal for classroom trial</w:t>
      </w:r>
    </w:p>
    <w:p>
      <w:pPr>
        <w:pStyle w:val="Heading2"/>
      </w:pPr>
      <w:r>
        <w:t xml:space="preserve">Problem Statement</w:t>
      </w:r>
    </w:p>
    <w:p>
      <w:pPr>
        <w:spacing w:after="120"/>
      </w:pPr>
      <w:r>
        <w:t xml:space="preserve">Australian schools need low-friction classroom tools that help students discuss systems, routines, and online safety habits without adding teacher admin or introducing avoidable privacy and safeguarding risk.</w:t>
      </w:r>
    </w:p>
    <w:p>
      <w:pPr>
        <w:spacing w:after="80" w:before="80"/>
      </w:pPr>
    </w:p>
    <w:p>
      <w:pPr>
        <w:pStyle w:val="Heading2"/>
      </w:pPr>
      <w:r>
        <w:t xml:space="preserve">Pilot Scope</w:t>
      </w:r>
    </w:p>
    <w:tbl>
      <w:tblPr>
        <w:tblW w:type="dxa" w:w="938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86"/>
      </w:tblGrid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Parameter</w:t>
            </w:r>
          </w:p>
        </w:tc>
        <w:tc>
          <w:tcPr>
            <w:tcW w:type="dxa" w:w="63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Detail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Year levels</w:t>
            </w:r>
          </w:p>
        </w:tc>
        <w:tc>
          <w:tcPr>
            <w:tcW w:type="dxa" w:w="63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Years 3–6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Schools</w:t>
            </w:r>
          </w:p>
        </w:tc>
        <w:tc>
          <w:tcPr>
            <w:tcW w:type="dxa" w:w="63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2 to 3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Classes</w:t>
            </w:r>
          </w:p>
        </w:tc>
        <w:tc>
          <w:tcPr>
            <w:tcW w:type="dxa" w:w="63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1 to 2 per school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Duration</w:t>
            </w:r>
          </w:p>
        </w:tc>
        <w:tc>
          <w:tcPr>
            <w:tcW w:type="dxa" w:w="63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4 to 8 weeks</w:t>
            </w:r>
          </w:p>
        </w:tc>
      </w:tr>
      <w:tr>
        <w:tc>
          <w:tcPr>
            <w:tcW w:type="dxa" w:w="3000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F1F5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Delivery model</w:t>
            </w:r>
          </w:p>
        </w:tc>
        <w:tc>
          <w:tcPr>
            <w:tcW w:type="dxa" w:w="6386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sz w:val="20"/>
                <w:szCs w:val="20"/>
              </w:rPr>
              <w:t xml:space="preserve">Teacher-led classroom use only</w:t>
            </w:r>
          </w:p>
        </w:tc>
      </w:tr>
    </w:tbl>
    <w:p>
      <w:pPr>
        <w:spacing w:after="80" w:before="80"/>
      </w:pPr>
    </w:p>
    <w:p>
      <w:pPr>
        <w:pStyle w:val="Heading2"/>
      </w:pPr>
      <w:r>
        <w:t xml:space="preserve">Pilot Boundaries</w:t>
      </w:r>
    </w:p>
    <w:p>
      <w:pPr>
        <w:pStyle w:val="ListParagraph"/>
        <w:numPr>
          <w:ilvl w:val="0"/>
          <w:numId w:val="2"/>
        </w:numPr>
      </w:pPr>
      <w:r>
        <w:t xml:space="preserve">No student accounts</w:t>
      </w:r>
    </w:p>
    <w:p>
      <w:pPr>
        <w:pStyle w:val="ListParagraph"/>
        <w:numPr>
          <w:ilvl w:val="0"/>
          <w:numId w:val="2"/>
        </w:numPr>
      </w:pPr>
      <w:r>
        <w:t xml:space="preserve">Alias-only classroom roster</w:t>
      </w:r>
    </w:p>
    <w:p>
      <w:pPr>
        <w:pStyle w:val="ListParagraph"/>
        <w:numPr>
          <w:ilvl w:val="0"/>
          <w:numId w:val="2"/>
        </w:numPr>
      </w:pPr>
      <w:r>
        <w:t xml:space="preserve">No social features</w:t>
      </w:r>
    </w:p>
    <w:p>
      <w:pPr>
        <w:pStyle w:val="ListParagraph"/>
        <w:numPr>
          <w:ilvl w:val="0"/>
          <w:numId w:val="2"/>
        </w:numPr>
      </w:pPr>
      <w:r>
        <w:t xml:space="preserve">No generative chat</w:t>
      </w:r>
    </w:p>
    <w:p>
      <w:pPr>
        <w:pStyle w:val="ListParagraph"/>
        <w:numPr>
          <w:ilvl w:val="0"/>
          <w:numId w:val="2"/>
        </w:numPr>
      </w:pPr>
      <w:r>
        <w:t xml:space="preserve">No always-on companion use</w:t>
      </w:r>
    </w:p>
    <w:p>
      <w:pPr>
        <w:spacing w:after="80" w:before="80"/>
      </w:pPr>
    </w:p>
    <w:p>
      <w:pPr>
        <w:pStyle w:val="Heading2"/>
      </w:pPr>
      <w:r>
        <w:t xml:space="preserve">Evidence Set</w:t>
      </w:r>
    </w:p>
    <w:p>
      <w:pPr>
        <w:pStyle w:val="ListParagraph"/>
        <w:numPr>
          <w:ilvl w:val="0"/>
          <w:numId w:val="2"/>
        </w:numPr>
      </w:pPr>
      <w:r>
        <w:t xml:space="preserve">Teacher interview</w:t>
      </w:r>
    </w:p>
    <w:p>
      <w:pPr>
        <w:pStyle w:val="ListParagraph"/>
        <w:numPr>
          <w:ilvl w:val="0"/>
          <w:numId w:val="2"/>
        </w:numPr>
      </w:pPr>
      <w:r>
        <w:t xml:space="preserve">Anonymous student exit feedback</w:t>
      </w:r>
    </w:p>
    <w:p>
      <w:pPr>
        <w:pStyle w:val="ListParagraph"/>
        <w:numPr>
          <w:ilvl w:val="0"/>
          <w:numId w:val="2"/>
        </w:numPr>
      </w:pPr>
      <w:r>
        <w:t xml:space="preserve">Parent/carer feedback</w:t>
      </w:r>
    </w:p>
    <w:p>
      <w:pPr>
        <w:pStyle w:val="ListParagraph"/>
        <w:numPr>
          <w:ilvl w:val="0"/>
          <w:numId w:val="2"/>
        </w:numPr>
      </w:pPr>
      <w:r>
        <w:t xml:space="preserve">Pre/post measure</w:t>
      </w:r>
    </w:p>
    <w:p>
      <w:pPr>
        <w:pStyle w:val="ListParagraph"/>
        <w:numPr>
          <w:ilvl w:val="0"/>
          <w:numId w:val="2"/>
        </w:numPr>
      </w:pPr>
      <w:r>
        <w:t xml:space="preserve">Incident log</w:t>
      </w:r>
    </w:p>
    <w:p>
      <w:pPr>
        <w:pStyle w:val="ListParagraph"/>
        <w:numPr>
          <w:ilvl w:val="0"/>
          <w:numId w:val="2"/>
        </w:numPr>
      </w:pPr>
      <w:r>
        <w:t xml:space="preserve">Dropout and engagement counts</w:t>
      </w:r>
    </w:p>
    <w:p>
      <w:pPr>
        <w:pStyle w:val="ListParagraph"/>
        <w:numPr>
          <w:ilvl w:val="0"/>
          <w:numId w:val="2"/>
        </w:numPr>
      </w:pPr>
      <w:r>
        <w:t xml:space="preserve">Implementation fidelity notes</w:t>
      </w:r>
    </w:p>
    <w:p>
      <w:pPr>
        <w:spacing w:after="80" w:before="80"/>
      </w:pPr>
    </w:p>
    <w:p>
      <w:pPr>
        <w:pStyle w:val="Heading2"/>
      </w:pPr>
      <w:r>
        <w:t xml:space="preserve">Operational Materials</w:t>
      </w:r>
    </w:p>
    <w:p>
      <w:pPr>
        <w:pStyle w:val="ListParagraph"/>
        <w:numPr>
          <w:ilvl w:val="0"/>
          <w:numId w:val="2"/>
        </w:numPr>
      </w:pPr>
      <w:r>
        <w:t xml:space="preserve">Acceptance Runbook</w:t>
      </w:r>
    </w:p>
    <w:p>
      <w:pPr>
        <w:pStyle w:val="ListParagraph"/>
        <w:numPr>
          <w:ilvl w:val="0"/>
          <w:numId w:val="2"/>
        </w:numPr>
      </w:pPr>
      <w:r>
        <w:t xml:space="preserve">Pilot Runbook</w:t>
      </w:r>
    </w:p>
    <w:p>
      <w:pPr>
        <w:pStyle w:val="ListParagraph"/>
        <w:numPr>
          <w:ilvl w:val="0"/>
          <w:numId w:val="2"/>
        </w:numPr>
      </w:pPr>
      <w:r>
        <w:t xml:space="preserve">School Partner Checklist</w:t>
      </w:r>
    </w:p>
    <w:p>
      <w:pPr>
        <w:pStyle w:val="ListParagraph"/>
        <w:numPr>
          <w:ilvl w:val="0"/>
          <w:numId w:val="2"/>
        </w:numPr>
      </w:pPr>
      <w:r>
        <w:t xml:space="preserve">Family Participation Protocol</w:t>
      </w:r>
    </w:p>
    <w:p>
      <w:pPr>
        <w:pStyle w:val="ListParagraph"/>
        <w:numPr>
          <w:ilvl w:val="0"/>
          <w:numId w:val="2"/>
        </w:numPr>
      </w:pPr>
      <w:r>
        <w:t xml:space="preserve">ICT/Privacy Review Checklist</w:t>
      </w:r>
    </w:p>
    <w:p>
      <w:pPr>
        <w:pStyle w:val="ListParagraph"/>
        <w:numPr>
          <w:ilvl w:val="0"/>
          <w:numId w:val="2"/>
        </w:numPr>
      </w:pPr>
      <w:r>
        <w:t xml:space="preserve">Parent Readability Checklist</w:t>
      </w:r>
    </w:p>
    <w:p>
      <w:pPr>
        <w:pStyle w:val="ListParagraph"/>
        <w:numPr>
          <w:ilvl w:val="0"/>
          <w:numId w:val="2"/>
        </w:numPr>
      </w:pPr>
      <w:r>
        <w:t xml:space="preserve">End-of-Pilot Summary</w:t>
      </w:r>
    </w:p>
    <w:p>
      <w:pPr>
        <w:spacing w:after="80" w:before="80"/>
      </w:pPr>
    </w:p>
    <w:p>
      <w:pPr>
        <w:pStyle w:val="Heading2"/>
      </w:pPr>
      <w:r>
        <w:t xml:space="preserve">Success Criteria</w:t>
      </w:r>
    </w:p>
    <w:p>
      <w:pPr>
        <w:pStyle w:val="ListParagraph"/>
        <w:numPr>
          <w:ilvl w:val="0"/>
          <w:numId w:val="2"/>
        </w:numPr>
      </w:pPr>
      <w:r>
        <w:t xml:space="preserve">Teachers can set up and run the sequence without account administration</w:t>
      </w:r>
    </w:p>
    <w:p>
      <w:pPr>
        <w:pStyle w:val="ListParagraph"/>
        <w:numPr>
          <w:ilvl w:val="0"/>
          <w:numId w:val="2"/>
        </w:numPr>
      </w:pPr>
      <w:r>
        <w:t xml:space="preserve">Leadership and ICT reviewers can understand the privacy and safety position quickly</w:t>
      </w:r>
    </w:p>
    <w:p>
      <w:pPr>
        <w:pStyle w:val="ListParagraph"/>
        <w:numPr>
          <w:ilvl w:val="0"/>
          <w:numId w:val="2"/>
        </w:numPr>
      </w:pPr>
      <w:r>
        <w:t xml:space="preserve">Students can explain simple system rules, state changes, or online safety habits after the sequence</w:t>
      </w:r>
    </w:p>
    <w:p>
      <w:pPr>
        <w:pStyle w:val="ListParagraph"/>
        <w:numPr>
          <w:ilvl w:val="0"/>
          <w:numId w:val="2"/>
        </w:numPr>
      </w:pPr>
      <w:r>
        <w:t xml:space="preserve">No significant safeguarding, privacy, or over-engagement incidents occur</w:t>
      </w:r>
    </w:p>
    <w:p>
      <w:pPr>
        <w:spacing w:after="80" w:before="80"/>
      </w:pPr>
    </w:p>
    <w:p>
      <w:pPr>
        <w:pStyle w:val="Heading2"/>
      </w:pPr>
      <w:r>
        <w:t xml:space="preserve">Stop Conditions</w:t>
      </w:r>
    </w:p>
    <w:p>
      <w:pPr>
        <w:shd w:fill="E0F5F3" w:val="clear"/>
        <w:spacing w:after="160" w:before="160"/>
        <w:ind w:left="200" w:right="200"/>
      </w:pPr>
      <w:r>
        <w:rPr>
          <w:i/>
          <w:iCs/>
          <w:color w:val="1B2A4A"/>
          <w:sz w:val="22"/>
          <w:szCs w:val="22"/>
        </w:rPr>
        <w:t xml:space="preserve">The pilot will be paused or stopped if any of the following occur:</w:t>
      </w:r>
    </w:p>
    <w:p>
      <w:pPr>
        <w:pStyle w:val="ListParagraph"/>
        <w:numPr>
          <w:ilvl w:val="0"/>
          <w:numId w:val="2"/>
        </w:numPr>
      </w:pPr>
      <w:r>
        <w:t xml:space="preserve">The school profile exposes non-school product surfaces</w:t>
      </w:r>
    </w:p>
    <w:p>
      <w:pPr>
        <w:pStyle w:val="ListParagraph"/>
        <w:numPr>
          <w:ilvl w:val="0"/>
          <w:numId w:val="2"/>
        </w:numPr>
      </w:pPr>
      <w:r>
        <w:t xml:space="preserve">Teachers report unacceptable workload or setup burden</w:t>
      </w:r>
    </w:p>
    <w:p>
      <w:pPr>
        <w:pStyle w:val="ListParagraph"/>
        <w:numPr>
          <w:ilvl w:val="0"/>
          <w:numId w:val="2"/>
        </w:numPr>
      </w:pPr>
      <w:r>
        <w:t xml:space="preserve">Families or staff cannot distinguish the school deployment from the broader product</w:t>
      </w:r>
    </w:p>
    <w:p>
      <w:pPr>
        <w:pStyle w:val="ListParagraph"/>
        <w:numPr>
          <w:ilvl w:val="0"/>
          <w:numId w:val="2"/>
        </w:numPr>
      </w:pPr>
      <w:r>
        <w:t xml:space="preserve">A privacy or safeguarding issue remains unresolved</w:t>
      </w:r>
    </w:p>
    <w:sectPr>
      <w:pgSz w:w="11906" w:h="16838" w:orient="portrait"/>
      <w:pgMar w:top="1440" w:right="1260" w:bottom="126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E293B"/>
        <w:sz w:val="22"/>
        <w:szCs w:val="22"/>
      </w:rPr>
    </w:rPrDefault>
    <w:pPrDefault>
      <w:pPr>
        <w:spacing w:after="120"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Calibri" w:cs="Calibri" w:eastAsia="Calibri" w:hAnsi="Calibri"/>
      <w:b/>
      <w:bCs/>
      <w:color w:val="1B2A4A"/>
      <w:sz w:val="36"/>
      <w:szCs w:val="36"/>
    </w:rPr>
  </w:style>
  <w:style w:type="paragraph" w:styleId="Heading2">
    <w:name w:val="Heading 2"/>
    <w:basedOn w:val="Normal"/>
    <w:next w:val="Normal"/>
    <w:qFormat/>
    <w:pPr>
      <w:pBdr>
        <w:bottom w:val="single" w:color="0D9488" w:sz="1" w:space="4"/>
      </w:pBdr>
      <w:spacing w:after="160" w:before="280"/>
      <w:outlineLvl w:val="1"/>
    </w:pPr>
    <w:rPr>
      <w:rFonts w:ascii="Calibri" w:cs="Calibri" w:eastAsia="Calibri" w:hAnsi="Calibri"/>
      <w:b/>
      <w:bCs/>
      <w:color w:val="0D9488"/>
      <w:sz w:val="28"/>
      <w:szCs w:val="28"/>
    </w:rPr>
  </w:style>
  <w:style w:type="paragraph" w:styleId="Heading3">
    <w:name w:val="Heading 3"/>
    <w:basedOn w:val="Normal"/>
    <w:next w:val="Normal"/>
    <w:qFormat/>
    <w:pPr>
      <w:spacing w:after="120" w:before="200"/>
      <w:outlineLvl w:val="2"/>
    </w:pPr>
    <w:rPr>
      <w:rFonts w:ascii="Calibri" w:cs="Calibri" w:eastAsia="Calibri" w:hAnsi="Calibri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2026-03-24T01:53:45.207Z</dcterms:created>
  <dcterms:modified xsi:type="dcterms:W3CDTF">2026-03-24T01:53:45.207Z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