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600"/>
      </w:pPr>
      <w:r>
        <w:rPr>
          <w:rFonts w:ascii="Calibri" w:cs="Calibri" w:eastAsia="Calibri" w:hAnsi="Calibri"/>
          <w:b/>
          <w:bCs/>
          <w:caps/>
          <w:color w:val="0D9488"/>
          <w:sz w:val="20"/>
          <w:szCs w:val="20"/>
        </w:rPr>
        <w:t xml:space="preserve">METAPET SCHOOLS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1B2A4A"/>
          <w:sz w:val="48"/>
          <w:szCs w:val="48"/>
        </w:rPr>
        <w:t xml:space="preserve">Assessment &amp; Reflection</w:t>
      </w:r>
    </w:p>
    <w:p>
      <w:pPr>
        <w:pBdr>
          <w:bottom w:val="single" w:color="0D9488" w:sz="8" w:space="12"/>
        </w:pBdr>
        <w:spacing w:after="300"/>
      </w:pPr>
      <w:r>
        <w:rPr>
          <w:rFonts w:ascii="Calibri" w:cs="Calibri" w:eastAsia="Calibri" w:hAnsi="Calibri"/>
          <w:color w:val="94A3B8"/>
          <w:sz w:val="24"/>
          <w:szCs w:val="24"/>
        </w:rPr>
        <w:t xml:space="preserve">Light evidence tools — no marking required</w:t>
      </w:r>
    </w:p>
    <w:p>
      <w:pPr>
        <w:pStyle w:val="Heading2"/>
      </w:pPr>
      <w:r>
        <w:t xml:space="preserve">No Marking Required</w:t>
      </w:r>
    </w:p>
    <w:p>
      <w:pPr>
        <w:shd w:fill="E0F5F3" w:val="clear"/>
        <w:spacing w:after="160" w:before="160"/>
        <w:ind w:left="200" w:right="200"/>
      </w:pPr>
      <w:r>
        <w:rPr>
          <w:i/>
          <w:iCs/>
          <w:color w:val="1B2A4A"/>
          <w:sz w:val="22"/>
          <w:szCs w:val="22"/>
        </w:rPr>
        <w:t xml:space="preserve">This sequence is designed for light classroom evidence, not grading.</w:t>
      </w:r>
    </w:p>
    <w:p>
      <w:pPr>
        <w:spacing w:after="120"/>
      </w:pPr>
      <w:r>
        <w:t xml:space="preserve">Teachers do not need to:</w:t>
      </w:r>
    </w:p>
    <w:p>
      <w:pPr>
        <w:pStyle w:val="ListParagraph"/>
        <w:numPr>
          <w:ilvl w:val="0"/>
          <w:numId w:val="2"/>
        </w:numPr>
      </w:pPr>
      <w:r>
        <w:t xml:space="preserve">Mark written paragraphs</w:t>
      </w:r>
    </w:p>
    <w:p>
      <w:pPr>
        <w:pStyle w:val="ListParagraph"/>
        <w:numPr>
          <w:ilvl w:val="0"/>
          <w:numId w:val="2"/>
        </w:numPr>
      </w:pPr>
      <w:r>
        <w:t xml:space="preserve">Grade student performance</w:t>
      </w:r>
    </w:p>
    <w:p>
      <w:pPr>
        <w:pStyle w:val="ListParagraph"/>
        <w:numPr>
          <w:ilvl w:val="0"/>
          <w:numId w:val="2"/>
        </w:numPr>
      </w:pPr>
      <w:r>
        <w:t xml:space="preserve">Create reports from the sequence</w:t>
      </w:r>
    </w:p>
    <w:p>
      <w:pPr>
        <w:pStyle w:val="ListParagraph"/>
        <w:numPr>
          <w:ilvl w:val="0"/>
          <w:numId w:val="2"/>
        </w:numPr>
      </w:pPr>
      <w:r>
        <w:t xml:space="preserve">Manage formal rubrics</w:t>
      </w:r>
    </w:p>
    <w:p>
      <w:pPr>
        <w:spacing w:after="120"/>
      </w:pPr>
      <w:r>
        <w:t xml:space="preserve">Teachers can collect simple evidence through two optional tools only.</w:t>
      </w:r>
    </w:p>
    <w:p>
      <w:pPr>
        <w:spacing w:after="80" w:before="80"/>
      </w:pPr>
    </w:p>
    <w:p>
      <w:pPr>
        <w:pStyle w:val="Heading2"/>
      </w:pPr>
      <w:r>
        <w:t xml:space="preserve">Tool 1: Student Reflection Sheet</w:t>
      </w:r>
    </w:p>
    <w:p>
      <w:pPr>
        <w:spacing w:after="120"/>
      </w:pPr>
      <w:r>
        <w:t xml:space="preserve">Use this once near the end of the sequence, or after any lesson where you want a written snapshot.</w:t>
      </w:r>
    </w:p>
    <w:p>
      <w:pPr>
        <w:spacing w:after="80" w:before="80"/>
      </w:pPr>
    </w:p>
    <w:p>
      <w:pPr>
        <w:spacing w:after="100"/>
      </w:pPr>
      <w:r>
        <w:rPr>
          <w:b/>
          <w:bCs/>
        </w:rPr>
        <w:t xml:space="preserve">Name or alias: </w:t>
      </w:r>
      <w:r>
        <w:t xml:space="preserve">______________________________</w:t>
      </w:r>
    </w:p>
    <w:p>
      <w:pPr>
        <w:spacing w:after="100"/>
      </w:pPr>
      <w:r>
        <w:rPr>
          <w:b/>
          <w:bCs/>
        </w:rPr>
        <w:t xml:space="preserve">Session: </w:t>
      </w:r>
      <w:r>
        <w:t xml:space="preserve">______________________________</w:t>
      </w:r>
    </w:p>
    <w:p>
      <w:pPr>
        <w:spacing w:after="80" w:before="80"/>
      </w:pPr>
    </w:p>
    <w:p>
      <w:pPr>
        <w:pStyle w:val="ListParagraph"/>
        <w:numPr>
          <w:ilvl w:val="0"/>
          <w:numId w:val="3"/>
        </w:numPr>
      </w:pPr>
      <w:r>
        <w:t xml:space="preserve">My digital companion was showing this visible state: __________</w:t>
      </w:r>
    </w:p>
    <w:p>
      <w:pPr>
        <w:pStyle w:val="ListParagraph"/>
        <w:numPr>
          <w:ilvl w:val="0"/>
          <w:numId w:val="3"/>
        </w:numPr>
      </w:pPr>
      <w:r>
        <w:t xml:space="preserve">I chose this action: __________</w:t>
      </w:r>
    </w:p>
    <w:p>
      <w:pPr>
        <w:pStyle w:val="ListParagraph"/>
        <w:numPr>
          <w:ilvl w:val="0"/>
          <w:numId w:val="3"/>
        </w:numPr>
      </w:pPr>
      <w:r>
        <w:t xml:space="preserve">The system changed in this way: __________</w:t>
      </w:r>
    </w:p>
    <w:p>
      <w:pPr>
        <w:pStyle w:val="ListParagraph"/>
        <w:numPr>
          <w:ilvl w:val="0"/>
          <w:numId w:val="3"/>
        </w:numPr>
      </w:pPr>
      <w:r>
        <w:t xml:space="preserve">This shows cause and effect because: __________</w:t>
      </w:r>
    </w:p>
    <w:p>
      <w:pPr>
        <w:pStyle w:val="ListParagraph"/>
        <w:numPr>
          <w:ilvl w:val="0"/>
          <w:numId w:val="3"/>
        </w:numPr>
      </w:pPr>
      <w:r>
        <w:t xml:space="preserve">One pattern I noticed was: __________</w:t>
      </w:r>
    </w:p>
    <w:p>
      <w:pPr>
        <w:pStyle w:val="ListParagraph"/>
        <w:numPr>
          <w:ilvl w:val="0"/>
          <w:numId w:val="3"/>
        </w:numPr>
      </w:pPr>
      <w:r>
        <w:t xml:space="preserve">One strategy that helped the companion recover or settle was: __________</w:t>
      </w:r>
    </w:p>
    <w:p>
      <w:pPr>
        <w:pStyle w:val="ListParagraph"/>
        <w:numPr>
          <w:ilvl w:val="0"/>
          <w:numId w:val="3"/>
        </w:numPr>
      </w:pPr>
      <w:r>
        <w:t xml:space="preserve">One thing I learned about working with a partner or listening to others was: __________</w:t>
      </w:r>
    </w:p>
    <w:p>
      <w:pPr>
        <w:spacing w:after="80" w:before="80"/>
      </w:pPr>
    </w:p>
    <w:p>
      <w:pPr>
        <w:spacing w:after="120"/>
        <w:rPr>
          <w:i/>
          <w:iCs/>
          <w:color w:val="94A3B8"/>
          <w:sz w:val="20"/>
          <w:szCs w:val="20"/>
        </w:rPr>
      </w:pPr>
      <w:r>
        <w:rPr>
          <w:i/>
          <w:iCs/>
          <w:color w:val="94A3B8"/>
          <w:sz w:val="20"/>
          <w:szCs w:val="20"/>
        </w:rPr>
        <w:t xml:space="preserve">Captures: cause/effect reasoning, systems vocabulary, regulation strategy, collaborative reflection.</w:t>
      </w:r>
    </w:p>
    <w:p>
      <w:pPr>
        <w:spacing w:after="80" w:before="80"/>
      </w:pPr>
    </w:p>
    <w:p>
      <w:r>
        <w:br w:type="page"/>
      </w:r>
    </w:p>
    <w:p>
      <w:pPr>
        <w:pStyle w:val="Heading2"/>
      </w:pPr>
      <w:r>
        <w:t xml:space="preserve">Tool 2: Teacher Observation Checklist</w:t>
      </w:r>
    </w:p>
    <w:p>
      <w:pPr>
        <w:spacing w:after="120"/>
      </w:pPr>
      <w:r>
        <w:t xml:space="preserve">Use this while circulating. A quick classroom note, not a scoring sheet.</w:t>
      </w:r>
    </w:p>
    <w:p>
      <w:pPr>
        <w:spacing w:after="80" w:before="80"/>
      </w:pPr>
    </w:p>
    <w:tbl>
      <w:tblPr>
        <w:tblW w:type="dxa" w:w="938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1500"/>
        <w:gridCol w:w="1500"/>
        <w:gridCol w:w="1500"/>
        <w:gridCol w:w="1786"/>
        <w:gridCol w:w="1500"/>
      </w:tblGrid>
      <w:tr>
        <w:tc>
          <w:tcPr>
            <w:tcW w:type="dxa" w:w="1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Student or pair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Reads companion state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Cause &amp; effect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Systems language</w:t>
            </w:r>
          </w:p>
        </w:tc>
        <w:tc>
          <w:tcPr>
            <w:tcW w:type="dxa" w:w="178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Regulation strategy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Collaborative</w:t>
            </w:r>
          </w:p>
        </w:tc>
      </w:tr>
      <w:tr>
        <w:tc>
          <w:tcPr>
            <w:tcW w:type="dxa" w:w="1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__________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Yes / Not yet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Yes / Not yet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Yes / Not yet</w:t>
            </w:r>
          </w:p>
        </w:tc>
        <w:tc>
          <w:tcPr>
            <w:tcW w:type="dxa" w:w="178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Yes / Not yet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Yes / Not yet</w:t>
            </w:r>
          </w:p>
        </w:tc>
      </w:tr>
      <w:tr>
        <w:tc>
          <w:tcPr>
            <w:tcW w:type="dxa" w:w="1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__________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Yes / Not yet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Yes / Not yet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Yes / Not yet</w:t>
            </w:r>
          </w:p>
        </w:tc>
        <w:tc>
          <w:tcPr>
            <w:tcW w:type="dxa" w:w="178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Yes / Not yet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Yes / Not yet</w:t>
            </w:r>
          </w:p>
        </w:tc>
      </w:tr>
      <w:tr>
        <w:tc>
          <w:tcPr>
            <w:tcW w:type="dxa" w:w="1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__________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Yes / Not yet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Yes / Not yet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Yes / Not yet</w:t>
            </w:r>
          </w:p>
        </w:tc>
        <w:tc>
          <w:tcPr>
            <w:tcW w:type="dxa" w:w="178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Yes / Not yet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Yes / Not yet</w:t>
            </w:r>
          </w:p>
        </w:tc>
      </w:tr>
      <w:tr>
        <w:tc>
          <w:tcPr>
            <w:tcW w:type="dxa" w:w="1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__________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Yes / Not yet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Yes / Not yet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Yes / Not yet</w:t>
            </w:r>
          </w:p>
        </w:tc>
        <w:tc>
          <w:tcPr>
            <w:tcW w:type="dxa" w:w="178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Yes / Not yet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Yes / Not yet</w:t>
            </w:r>
          </w:p>
        </w:tc>
      </w:tr>
    </w:tbl>
    <w:p>
      <w:pPr>
        <w:spacing w:after="80" w:before="80"/>
      </w:pPr>
    </w:p>
    <w:p>
      <w:pPr>
        <w:spacing w:after="120"/>
        <w:rPr>
          <w:i/>
          <w:iCs/>
          <w:color w:val="94A3B8"/>
          <w:sz w:val="20"/>
          <w:szCs w:val="20"/>
        </w:rPr>
      </w:pPr>
      <w:r>
        <w:rPr>
          <w:i/>
          <w:iCs/>
          <w:color w:val="94A3B8"/>
          <w:sz w:val="20"/>
          <w:szCs w:val="20"/>
        </w:rPr>
        <w:t xml:space="preserve">Captures: cause/effect reasoning, systems vocabulary, regulation strategy, collaborative reflection.</w:t>
      </w:r>
    </w:p>
    <w:p>
      <w:pPr>
        <w:spacing w:after="80" w:before="80"/>
      </w:pPr>
    </w:p>
    <w:p>
      <w:pPr>
        <w:pStyle w:val="Heading2"/>
      </w:pPr>
      <w:r>
        <w:t xml:space="preserve">When To Use These Tools</w:t>
      </w:r>
    </w:p>
    <w:p>
      <w:pPr>
        <w:pStyle w:val="ListParagraph"/>
        <w:numPr>
          <w:ilvl w:val="0"/>
          <w:numId w:val="2"/>
        </w:numPr>
      </w:pPr>
      <w:r>
        <w:t xml:space="preserve">Use the student reflection sheet when you want one written sample for a portfolio or class discussion.</w:t>
      </w:r>
    </w:p>
    <w:p>
      <w:pPr>
        <w:pStyle w:val="ListParagraph"/>
        <w:numPr>
          <w:ilvl w:val="0"/>
          <w:numId w:val="2"/>
        </w:numPr>
      </w:pPr>
      <w:r>
        <w:t xml:space="preserve">Use the teacher observation checklist when you want a fast in-the-moment record without stopping the lesson.</w:t>
      </w:r>
    </w:p>
    <w:p>
      <w:pPr>
        <w:spacing w:after="80" w:before="80"/>
      </w:pPr>
    </w:p>
    <w:p>
      <w:pPr>
        <w:shd w:fill="E0F5F3" w:val="clear"/>
        <w:spacing w:after="160" w:before="160"/>
        <w:ind w:left="200" w:right="200"/>
      </w:pPr>
      <w:r>
        <w:rPr>
          <w:i/>
          <w:iCs/>
          <w:color w:val="1B2A4A"/>
          <w:sz w:val="22"/>
          <w:szCs w:val="22"/>
        </w:rPr>
        <w:t xml:space="preserve">That is enough evidence for this sequence.</w:t>
      </w:r>
    </w:p>
    <w:sectPr>
      <w:pgSz w:w="11906" w:h="16838" w:orient="portrait"/>
      <w:pgMar w:top="1440" w:right="1260" w:bottom="126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E293B"/>
        <w:sz w:val="22"/>
        <w:szCs w:val="22"/>
      </w:rPr>
    </w:rPrDefault>
    <w:pPrDefault>
      <w:pPr>
        <w:spacing w:after="120"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Calibri" w:cs="Calibri" w:eastAsia="Calibri" w:hAnsi="Calibri"/>
      <w:b/>
      <w:bCs/>
      <w:color w:val="1B2A4A"/>
      <w:sz w:val="36"/>
      <w:szCs w:val="36"/>
    </w:rPr>
  </w:style>
  <w:style w:type="paragraph" w:styleId="Heading2">
    <w:name w:val="Heading 2"/>
    <w:basedOn w:val="Normal"/>
    <w:next w:val="Normal"/>
    <w:qFormat/>
    <w:pPr>
      <w:pBdr>
        <w:bottom w:val="single" w:color="0D9488" w:sz="1" w:space="4"/>
      </w:pBdr>
      <w:spacing w:after="160" w:before="280"/>
      <w:outlineLvl w:val="1"/>
    </w:pPr>
    <w:rPr>
      <w:rFonts w:ascii="Calibri" w:cs="Calibri" w:eastAsia="Calibri" w:hAnsi="Calibri"/>
      <w:b/>
      <w:bCs/>
      <w:color w:val="0D9488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20" w:before="200"/>
      <w:outlineLvl w:val="2"/>
    </w:pPr>
    <w:rPr>
      <w:rFonts w:ascii="Calibri" w:cs="Calibri" w:eastAsia="Calibri" w:hAnsi="Calibri"/>
      <w:b/>
      <w:bCs/>
      <w:color w:val="1B2A4A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2026-03-24T01:53:45.205Z</dcterms:created>
  <dcterms:modified xsi:type="dcterms:W3CDTF">2026-03-24T01:53:45.205Z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